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60" w:type="dxa"/>
        <w:tblLook w:val="04A0" w:firstRow="1" w:lastRow="0" w:firstColumn="1" w:lastColumn="0" w:noHBand="0" w:noVBand="1"/>
      </w:tblPr>
      <w:tblGrid>
        <w:gridCol w:w="1590"/>
        <w:gridCol w:w="8280"/>
        <w:gridCol w:w="4590"/>
      </w:tblGrid>
      <w:tr w:rsidR="00537F46" w:rsidRPr="00B3226D" w:rsidTr="007C085A">
        <w:trPr>
          <w:trHeight w:val="48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537F46" w:rsidRPr="00A92FB3" w:rsidRDefault="00537F46" w:rsidP="00DE0A45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2FB3">
              <w:rPr>
                <w:rFonts w:ascii="Arial Narrow" w:hAnsi="Arial Narrow"/>
                <w:b/>
                <w:sz w:val="24"/>
                <w:szCs w:val="24"/>
              </w:rPr>
              <w:t>Quarter 1</w:t>
            </w:r>
          </w:p>
          <w:p w:rsidR="00537F46" w:rsidRPr="00A92FB3" w:rsidRDefault="00537F46" w:rsidP="00DE0A45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2FB3">
              <w:rPr>
                <w:rFonts w:ascii="Arial Narrow" w:hAnsi="Arial Narrow"/>
                <w:b/>
                <w:sz w:val="24"/>
                <w:szCs w:val="24"/>
              </w:rPr>
              <w:t>Aug 10 – Oct 16</w:t>
            </w:r>
          </w:p>
        </w:tc>
        <w:tc>
          <w:tcPr>
            <w:tcW w:w="8280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F46" w:rsidRPr="00A92FB3" w:rsidRDefault="00537F46" w:rsidP="00E8740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2FB3">
              <w:rPr>
                <w:rFonts w:ascii="Arial Narrow" w:hAnsi="Arial Narrow"/>
                <w:b/>
                <w:sz w:val="24"/>
                <w:szCs w:val="24"/>
              </w:rPr>
              <w:t>Major Concepts / Topics</w:t>
            </w:r>
          </w:p>
        </w:tc>
        <w:tc>
          <w:tcPr>
            <w:tcW w:w="459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37F46" w:rsidRPr="00A92FB3" w:rsidRDefault="00537F46" w:rsidP="00E8740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2FB3">
              <w:rPr>
                <w:rFonts w:ascii="Arial Narrow" w:hAnsi="Arial Narrow"/>
                <w:b/>
                <w:sz w:val="24"/>
                <w:szCs w:val="24"/>
              </w:rPr>
              <w:t>Resources</w:t>
            </w:r>
          </w:p>
        </w:tc>
      </w:tr>
      <w:tr w:rsidR="00537F46" w:rsidRPr="00A003FF" w:rsidTr="006A38CA">
        <w:trPr>
          <w:trHeight w:val="638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537F46" w:rsidRPr="00A92FB3" w:rsidRDefault="00537F4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501A93" w:rsidRPr="00501A93" w:rsidRDefault="00501A93" w:rsidP="00501A93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92FB3">
              <w:rPr>
                <w:rFonts w:ascii="Arial Narrow" w:hAnsi="Arial Narrow"/>
                <w:sz w:val="24"/>
                <w:szCs w:val="24"/>
                <w:u w:val="single"/>
              </w:rPr>
              <w:t>Students will be able to</w:t>
            </w:r>
            <w:r w:rsidRPr="00A92FB3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9F76FF" w:rsidRPr="00573D2C" w:rsidRDefault="00573D2C" w:rsidP="0088146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>
              <w:t>describe personalities, emotional states and feelings and express personal relationships in the present tense,</w:t>
            </w:r>
            <w:r w:rsidR="00881469">
              <w:t xml:space="preserve"> in both the written and oral form using the vocabulary and grammar structures presented in Lesson 1 in context.</w:t>
            </w:r>
          </w:p>
        </w:tc>
        <w:tc>
          <w:tcPr>
            <w:tcW w:w="4590" w:type="dxa"/>
            <w:tcBorders>
              <w:top w:val="nil"/>
              <w:bottom w:val="nil"/>
              <w:right w:val="single" w:sz="24" w:space="0" w:color="auto"/>
            </w:tcBorders>
          </w:tcPr>
          <w:p w:rsidR="00881469" w:rsidRDefault="00881469" w:rsidP="00DE0A45">
            <w:pPr>
              <w:rPr>
                <w:b/>
              </w:rPr>
            </w:pPr>
          </w:p>
          <w:p w:rsidR="00C54906" w:rsidRPr="00881469" w:rsidRDefault="001979BF" w:rsidP="00DE0A45">
            <w:pPr>
              <w:rPr>
                <w:b/>
                <w:lang w:val="es-ES"/>
              </w:rPr>
            </w:pPr>
            <w:r w:rsidRPr="00881469">
              <w:rPr>
                <w:b/>
                <w:lang w:val="es-ES"/>
              </w:rPr>
              <w:t>Lección 1 - Las relaciones personales</w:t>
            </w:r>
          </w:p>
          <w:p w:rsidR="001979BF" w:rsidRPr="00881469" w:rsidRDefault="0070472A" w:rsidP="00DE0A45">
            <w:pPr>
              <w:rPr>
                <w:b/>
                <w:lang w:val="es-ES"/>
              </w:rPr>
            </w:pPr>
            <w:r w:rsidRPr="00881469">
              <w:rPr>
                <w:b/>
                <w:lang w:val="es-ES"/>
              </w:rPr>
              <w:t>Lección 2 – Lección 2 - Las diversion</w:t>
            </w:r>
            <w:r w:rsidR="004E3DE6">
              <w:rPr>
                <w:b/>
                <w:lang w:val="es-ES"/>
              </w:rPr>
              <w:t>e</w:t>
            </w:r>
            <w:r w:rsidRPr="00881469">
              <w:rPr>
                <w:b/>
                <w:lang w:val="es-ES"/>
              </w:rPr>
              <w:t>s</w:t>
            </w:r>
          </w:p>
          <w:p w:rsidR="0070472A" w:rsidRPr="0070472A" w:rsidRDefault="0070472A" w:rsidP="00DE0A45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881469">
              <w:rPr>
                <w:b/>
                <w:lang w:val="es-ES"/>
              </w:rPr>
              <w:t>Lección 3 - Lección 3 - La vida diaria</w:t>
            </w:r>
          </w:p>
        </w:tc>
      </w:tr>
      <w:tr w:rsidR="00537F46" w:rsidRPr="00A003FF" w:rsidTr="0006676D">
        <w:trPr>
          <w:trHeight w:val="440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537F46" w:rsidRPr="0070472A" w:rsidRDefault="00537F46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537F46" w:rsidRPr="004068A6" w:rsidRDefault="00573D2C" w:rsidP="002C32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>
              <w:t xml:space="preserve">express personal likes and dislikes </w:t>
            </w:r>
            <w:r w:rsidRPr="00C50373">
              <w:t>relating to leisurely activities, past</w:t>
            </w:r>
            <w:r>
              <w:t xml:space="preserve"> </w:t>
            </w:r>
            <w:r w:rsidRPr="00C50373">
              <w:t xml:space="preserve">times </w:t>
            </w:r>
            <w:r>
              <w:t>and other social situations, and describe their daily routines and activities</w:t>
            </w:r>
            <w:r w:rsidR="00881469">
              <w:t>, in both the written and oral form using the vocabulary and grammar structures presented in Lesson 2 in context.</w:t>
            </w:r>
          </w:p>
        </w:tc>
        <w:tc>
          <w:tcPr>
            <w:tcW w:w="4590" w:type="dxa"/>
            <w:tcBorders>
              <w:top w:val="nil"/>
              <w:bottom w:val="nil"/>
              <w:right w:val="single" w:sz="24" w:space="0" w:color="auto"/>
            </w:tcBorders>
          </w:tcPr>
          <w:p w:rsidR="00FC4C51" w:rsidRDefault="00FC4C51" w:rsidP="00957506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881469" w:rsidRPr="00881469" w:rsidRDefault="00881469" w:rsidP="00957506">
            <w:pPr>
              <w:rPr>
                <w:rFonts w:ascii="Arial Narrow" w:hAnsi="Arial Narrow" w:cstheme="minorHAnsi"/>
                <w:sz w:val="24"/>
                <w:szCs w:val="24"/>
                <w:lang w:val="es-ES"/>
              </w:rPr>
            </w:pPr>
            <w:r w:rsidRPr="00881469">
              <w:rPr>
                <w:rFonts w:ascii="Arial Narrow" w:hAnsi="Arial Narrow" w:cstheme="minorHAnsi"/>
                <w:sz w:val="24"/>
                <w:szCs w:val="24"/>
                <w:lang w:val="es-ES"/>
              </w:rPr>
              <w:t>Vista Higher Learning</w:t>
            </w:r>
            <w:r w:rsidRPr="00881469">
              <w:rPr>
                <w:rFonts w:ascii="Arial Narrow" w:hAnsi="Arial Narrow" w:cstheme="minorHAnsi"/>
                <w:i/>
                <w:sz w:val="24"/>
                <w:szCs w:val="24"/>
                <w:lang w:val="es-ES"/>
              </w:rPr>
              <w:t xml:space="preserve"> Descubre 3– Lengua y cultura del mundo hispánico</w:t>
            </w:r>
          </w:p>
        </w:tc>
      </w:tr>
      <w:tr w:rsidR="00537F46" w:rsidRPr="00B3226D" w:rsidTr="00B3226D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537F46" w:rsidRPr="00881469" w:rsidRDefault="00537F46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537F46" w:rsidRPr="004068A6" w:rsidRDefault="00573D2C" w:rsidP="00214C0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993C33">
              <w:t xml:space="preserve">narrate </w:t>
            </w:r>
            <w:r>
              <w:t xml:space="preserve">completed or on-going </w:t>
            </w:r>
            <w:r w:rsidRPr="00993C33">
              <w:t>activities</w:t>
            </w:r>
            <w:r>
              <w:t xml:space="preserve"> in the past</w:t>
            </w:r>
            <w:r w:rsidRPr="00993C33">
              <w:t xml:space="preserve"> </w:t>
            </w:r>
            <w:r>
              <w:t>and express agreement and disagreement of an opinion</w:t>
            </w:r>
            <w:r w:rsidR="00881469">
              <w:t xml:space="preserve">, in both the written and oral form using the vocabulary and grammar structures presented in Lesson </w:t>
            </w:r>
            <w:r w:rsidR="00214C09">
              <w:t>3</w:t>
            </w:r>
            <w:r w:rsidR="00881469">
              <w:t xml:space="preserve"> in context.</w:t>
            </w:r>
          </w:p>
        </w:tc>
        <w:tc>
          <w:tcPr>
            <w:tcW w:w="4590" w:type="dxa"/>
            <w:tcBorders>
              <w:top w:val="nil"/>
              <w:bottom w:val="nil"/>
              <w:right w:val="single" w:sz="24" w:space="0" w:color="auto"/>
            </w:tcBorders>
          </w:tcPr>
          <w:p w:rsidR="00537F46" w:rsidRDefault="00F1338D" w:rsidP="0012176D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VHL Supersite:</w:t>
            </w:r>
          </w:p>
          <w:p w:rsidR="00F1338D" w:rsidRPr="00A92FB3" w:rsidRDefault="009628B3" w:rsidP="0012176D">
            <w:pPr>
              <w:rPr>
                <w:rFonts w:ascii="Arial Narrow" w:hAnsi="Arial Narrow" w:cstheme="minorHAnsi"/>
                <w:sz w:val="24"/>
                <w:szCs w:val="24"/>
              </w:rPr>
            </w:pPr>
            <w:hyperlink r:id="rId8" w:history="1">
              <w:r w:rsidR="00F1338D">
                <w:rPr>
                  <w:rStyle w:val="Hyperlink"/>
                  <w:sz w:val="24"/>
                  <w:szCs w:val="24"/>
                </w:rPr>
                <w:t>http://vhlcentral.com</w:t>
              </w:r>
            </w:hyperlink>
          </w:p>
        </w:tc>
      </w:tr>
      <w:tr w:rsidR="00537F46" w:rsidRPr="00B3226D" w:rsidTr="00B3226D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537F46" w:rsidRPr="00A92FB3" w:rsidRDefault="00537F4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537F46" w:rsidRDefault="00537F46" w:rsidP="00573D2C">
            <w:pPr>
              <w:pStyle w:val="ListParagraph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214C09" w:rsidRPr="004068A6" w:rsidRDefault="00214C09" w:rsidP="00573D2C">
            <w:pPr>
              <w:pStyle w:val="List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bottom w:val="nil"/>
              <w:right w:val="single" w:sz="24" w:space="0" w:color="auto"/>
            </w:tcBorders>
          </w:tcPr>
          <w:p w:rsidR="00537F46" w:rsidRPr="00F1338D" w:rsidRDefault="00537F46" w:rsidP="00F1338D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537F46" w:rsidRPr="00B3226D" w:rsidTr="00B3226D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537F46" w:rsidRPr="00A92FB3" w:rsidRDefault="00537F4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537F46" w:rsidRPr="004068A6" w:rsidRDefault="00537F46" w:rsidP="00573D2C">
            <w:pPr>
              <w:pStyle w:val="List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bottom w:val="nil"/>
              <w:right w:val="single" w:sz="24" w:space="0" w:color="auto"/>
            </w:tcBorders>
          </w:tcPr>
          <w:p w:rsidR="00537F46" w:rsidRPr="00A92FB3" w:rsidRDefault="00537F46" w:rsidP="00B40341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537F46" w:rsidRPr="00B3226D" w:rsidTr="00B3226D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537F46" w:rsidRPr="00A92FB3" w:rsidRDefault="00537F4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537F46" w:rsidRPr="004068A6" w:rsidRDefault="00537F46" w:rsidP="00573D2C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bottom w:val="nil"/>
              <w:right w:val="single" w:sz="24" w:space="0" w:color="auto"/>
            </w:tcBorders>
          </w:tcPr>
          <w:p w:rsidR="00537F46" w:rsidRPr="00B40341" w:rsidRDefault="00537F46" w:rsidP="0098332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37F46" w:rsidRPr="00B3226D" w:rsidTr="00B3226D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37F46" w:rsidRPr="00A92FB3" w:rsidRDefault="00537F4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dotted" w:sz="4" w:space="0" w:color="auto"/>
              <w:bottom w:val="single" w:sz="24" w:space="0" w:color="auto"/>
            </w:tcBorders>
          </w:tcPr>
          <w:p w:rsidR="00537F46" w:rsidRPr="004068A6" w:rsidRDefault="00537F46" w:rsidP="00573D2C">
            <w:pPr>
              <w:pStyle w:val="ListParagraph"/>
              <w:rPr>
                <w:rFonts w:ascii="Arial Narrow" w:hAnsi="Arial Narrow" w:cstheme="minorHAnsi"/>
                <w:color w:val="3B3B3A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537F46" w:rsidRPr="00A92FB3" w:rsidRDefault="00537F46" w:rsidP="00B403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7F46" w:rsidRPr="00B3226D" w:rsidTr="007C085A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537F46" w:rsidRPr="00A92FB3" w:rsidRDefault="00537F46" w:rsidP="00DE0A45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2FB3">
              <w:rPr>
                <w:rFonts w:ascii="Arial Narrow" w:hAnsi="Arial Narrow"/>
                <w:b/>
                <w:sz w:val="24"/>
                <w:szCs w:val="24"/>
              </w:rPr>
              <w:t>Quarter 2</w:t>
            </w:r>
          </w:p>
          <w:p w:rsidR="00537F46" w:rsidRPr="00A92FB3" w:rsidRDefault="00537F46" w:rsidP="00DE0A45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2FB3">
              <w:rPr>
                <w:rFonts w:ascii="Arial Narrow" w:hAnsi="Arial Narrow"/>
                <w:b/>
                <w:sz w:val="24"/>
                <w:szCs w:val="24"/>
              </w:rPr>
              <w:t>Oct 20 – Dec 18</w:t>
            </w:r>
          </w:p>
        </w:tc>
        <w:tc>
          <w:tcPr>
            <w:tcW w:w="8280" w:type="dxa"/>
            <w:tcBorders>
              <w:top w:val="single" w:sz="2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37F46" w:rsidRPr="004068A6" w:rsidRDefault="00537F46" w:rsidP="00546F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068A6">
              <w:rPr>
                <w:rFonts w:ascii="Arial Narrow" w:hAnsi="Arial Narrow"/>
                <w:b/>
                <w:sz w:val="24"/>
                <w:szCs w:val="24"/>
              </w:rPr>
              <w:t>Major Concepts / Topics</w:t>
            </w:r>
          </w:p>
        </w:tc>
        <w:tc>
          <w:tcPr>
            <w:tcW w:w="459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37F46" w:rsidRPr="00A92FB3" w:rsidRDefault="00537F46" w:rsidP="00546F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2FB3">
              <w:rPr>
                <w:rFonts w:ascii="Arial Narrow" w:hAnsi="Arial Narrow"/>
                <w:b/>
                <w:sz w:val="24"/>
                <w:szCs w:val="24"/>
              </w:rPr>
              <w:t>Resources</w:t>
            </w:r>
          </w:p>
        </w:tc>
      </w:tr>
      <w:tr w:rsidR="00537F46" w:rsidRPr="00B3226D" w:rsidTr="0006676D">
        <w:trPr>
          <w:trHeight w:val="610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537F46" w:rsidRPr="00A92FB3" w:rsidRDefault="00537F4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8" w:space="0" w:color="auto"/>
              <w:bottom w:val="dotted" w:sz="4" w:space="0" w:color="auto"/>
            </w:tcBorders>
          </w:tcPr>
          <w:p w:rsidR="0090160F" w:rsidRPr="004068A6" w:rsidRDefault="007D5AFB" w:rsidP="007D5AFB">
            <w:pPr>
              <w:rPr>
                <w:rFonts w:ascii="Arial Narrow" w:hAnsi="Arial Narrow"/>
                <w:sz w:val="24"/>
                <w:szCs w:val="24"/>
              </w:rPr>
            </w:pPr>
            <w:r w:rsidRPr="004068A6">
              <w:rPr>
                <w:rFonts w:ascii="Arial Narrow" w:hAnsi="Arial Narrow"/>
                <w:sz w:val="24"/>
                <w:szCs w:val="24"/>
                <w:u w:val="single"/>
              </w:rPr>
              <w:t>Students will be able to</w:t>
            </w:r>
            <w:r w:rsidRPr="004068A6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70472A" w:rsidRDefault="0070472A" w:rsidP="000F0BCF">
            <w:pPr>
              <w:pStyle w:val="ListParagraph"/>
              <w:numPr>
                <w:ilvl w:val="0"/>
                <w:numId w:val="10"/>
              </w:numPr>
            </w:pPr>
            <w:r w:rsidRPr="00613907">
              <w:t xml:space="preserve">express will </w:t>
            </w:r>
            <w:r>
              <w:t>and emotion, doubt and denial and (b) give orders, advice and suggestions in both the written and oral form using the vocabulary and grammar structures presented in Lesson 4 in context.</w:t>
            </w:r>
          </w:p>
          <w:p w:rsidR="00537F46" w:rsidRPr="004068A6" w:rsidRDefault="00537F46" w:rsidP="000F0BCF">
            <w:pPr>
              <w:pStyle w:val="List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:rsidR="000F0BCF" w:rsidRPr="000F0BCF" w:rsidRDefault="000F0BCF">
            <w:pPr>
              <w:rPr>
                <w:b/>
                <w:lang w:val="es-ES"/>
              </w:rPr>
            </w:pPr>
            <w:r w:rsidRPr="000F0BCF">
              <w:rPr>
                <w:b/>
                <w:lang w:val="es-ES"/>
              </w:rPr>
              <w:t xml:space="preserve">Lección 4 – La salud y el bienestar </w:t>
            </w:r>
          </w:p>
          <w:p w:rsidR="000F0BCF" w:rsidRPr="00A92FB3" w:rsidRDefault="005404FA">
            <w:pPr>
              <w:rPr>
                <w:rFonts w:ascii="Arial Narrow" w:hAnsi="Arial Narrow"/>
                <w:sz w:val="24"/>
                <w:szCs w:val="24"/>
              </w:rPr>
            </w:pPr>
            <w:r w:rsidRPr="00CA77EE">
              <w:rPr>
                <w:b/>
              </w:rPr>
              <w:t>Lección 5 – Los viajes</w:t>
            </w:r>
          </w:p>
        </w:tc>
      </w:tr>
      <w:tr w:rsidR="0024561C" w:rsidRPr="00A003FF" w:rsidTr="00B3226D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24561C" w:rsidRPr="00A92FB3" w:rsidRDefault="0024561C" w:rsidP="002456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F69D9" w:rsidRPr="004068A6" w:rsidRDefault="000F0BCF" w:rsidP="002D523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>
              <w:t xml:space="preserve">a) </w:t>
            </w:r>
            <w:r w:rsidRPr="006E3928">
              <w:t>make compari</w:t>
            </w:r>
            <w:r>
              <w:t>so</w:t>
            </w:r>
            <w:r w:rsidRPr="006E3928">
              <w:t>n</w:t>
            </w:r>
            <w:r>
              <w:t>s, (b)</w:t>
            </w:r>
            <w:r w:rsidRPr="006E3928">
              <w:t xml:space="preserve"> use negative, affirmative and indefinite expressions, and </w:t>
            </w:r>
            <w:r>
              <w:t xml:space="preserve">(c) </w:t>
            </w:r>
            <w:r w:rsidRPr="006E3928">
              <w:t xml:space="preserve">express uncertainty and indefiniteness </w:t>
            </w:r>
            <w:r>
              <w:t>in both the written and oral form, using the vocabulary and grammar structures presented in Lesson 5 in context</w:t>
            </w:r>
          </w:p>
        </w:tc>
        <w:tc>
          <w:tcPr>
            <w:tcW w:w="4590" w:type="dxa"/>
            <w:tcBorders>
              <w:top w:val="nil"/>
              <w:bottom w:val="nil"/>
              <w:right w:val="single" w:sz="24" w:space="0" w:color="auto"/>
            </w:tcBorders>
          </w:tcPr>
          <w:p w:rsidR="0024561C" w:rsidRPr="004E3DE6" w:rsidRDefault="004E3DE6" w:rsidP="009F69D9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881469">
              <w:rPr>
                <w:rFonts w:ascii="Arial Narrow" w:hAnsi="Arial Narrow" w:cstheme="minorHAnsi"/>
                <w:sz w:val="24"/>
                <w:szCs w:val="24"/>
                <w:lang w:val="es-ES"/>
              </w:rPr>
              <w:t>Vista Higher Learning</w:t>
            </w:r>
            <w:r w:rsidRPr="00881469">
              <w:rPr>
                <w:rFonts w:ascii="Arial Narrow" w:hAnsi="Arial Narrow" w:cstheme="minorHAnsi"/>
                <w:i/>
                <w:sz w:val="24"/>
                <w:szCs w:val="24"/>
                <w:lang w:val="es-ES"/>
              </w:rPr>
              <w:t xml:space="preserve"> Descubre 3– Lengua y cultura del mundo hispánico</w:t>
            </w:r>
          </w:p>
        </w:tc>
      </w:tr>
      <w:tr w:rsidR="0024561C" w:rsidRPr="004E3DE6" w:rsidTr="00B3226D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24561C" w:rsidRPr="004E3DE6" w:rsidRDefault="0024561C" w:rsidP="0024561C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3D3DF6" w:rsidRPr="004E3DE6" w:rsidRDefault="003D3DF6" w:rsidP="000F0BCF">
            <w:pPr>
              <w:pStyle w:val="ListParagraph"/>
              <w:rPr>
                <w:rFonts w:ascii="Arial Narrow" w:hAnsi="Arial Narrow" w:cstheme="minorHAnsi"/>
                <w:sz w:val="24"/>
                <w:szCs w:val="24"/>
                <w:lang w:val="es-ES"/>
              </w:rPr>
            </w:pPr>
          </w:p>
        </w:tc>
        <w:tc>
          <w:tcPr>
            <w:tcW w:w="4590" w:type="dxa"/>
            <w:tcBorders>
              <w:top w:val="nil"/>
              <w:bottom w:val="nil"/>
              <w:right w:val="single" w:sz="24" w:space="0" w:color="auto"/>
            </w:tcBorders>
          </w:tcPr>
          <w:p w:rsidR="003130F9" w:rsidRDefault="003130F9" w:rsidP="003130F9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VHL Supersite:</w:t>
            </w:r>
          </w:p>
          <w:p w:rsidR="0024561C" w:rsidRPr="00A003FF" w:rsidRDefault="009628B3" w:rsidP="003130F9">
            <w:pPr>
              <w:rPr>
                <w:rFonts w:ascii="Arial Narrow" w:hAnsi="Arial Narrow"/>
                <w:sz w:val="24"/>
                <w:szCs w:val="24"/>
              </w:rPr>
            </w:pPr>
            <w:hyperlink r:id="rId9" w:history="1">
              <w:r w:rsidR="003130F9">
                <w:rPr>
                  <w:rStyle w:val="Hyperlink"/>
                  <w:sz w:val="24"/>
                  <w:szCs w:val="24"/>
                </w:rPr>
                <w:t>http://vhlcentral.com</w:t>
              </w:r>
            </w:hyperlink>
          </w:p>
        </w:tc>
      </w:tr>
      <w:tr w:rsidR="0024561C" w:rsidRPr="004E3DE6" w:rsidTr="00501A93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24561C" w:rsidRPr="00A003FF" w:rsidRDefault="0024561C" w:rsidP="002456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BB121C" w:rsidRPr="00A003FF" w:rsidRDefault="00BB121C" w:rsidP="000F0BCF">
            <w:pPr>
              <w:pStyle w:val="List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bottom w:val="nil"/>
              <w:right w:val="single" w:sz="24" w:space="0" w:color="auto"/>
            </w:tcBorders>
          </w:tcPr>
          <w:p w:rsidR="00F9457B" w:rsidRPr="00A003FF" w:rsidRDefault="00F9457B" w:rsidP="009F69D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561C" w:rsidRPr="004E3DE6" w:rsidTr="00501A93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24561C" w:rsidRPr="00A003FF" w:rsidRDefault="0024561C" w:rsidP="002456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dotted" w:sz="4" w:space="0" w:color="auto"/>
              <w:bottom w:val="single" w:sz="4" w:space="0" w:color="auto"/>
            </w:tcBorders>
          </w:tcPr>
          <w:p w:rsidR="0024561C" w:rsidRPr="00A003FF" w:rsidRDefault="0024561C" w:rsidP="000F0BCF">
            <w:pPr>
              <w:pStyle w:val="List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:rsidR="00F9457B" w:rsidRPr="00A003FF" w:rsidRDefault="00F9457B" w:rsidP="0024561C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3DE6" w:rsidRPr="00A003FF" w:rsidRDefault="004E3DE6" w:rsidP="0024561C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3DE6" w:rsidRPr="00A003FF" w:rsidRDefault="004E3DE6" w:rsidP="0024561C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3DE6" w:rsidRPr="00A003FF" w:rsidRDefault="004E3DE6" w:rsidP="002456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561C" w:rsidRPr="00B3226D" w:rsidTr="00501A93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4561C" w:rsidRPr="00A92FB3" w:rsidRDefault="0024561C" w:rsidP="00DE0A45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2FB3">
              <w:rPr>
                <w:rFonts w:ascii="Arial Narrow" w:hAnsi="Arial Narrow"/>
                <w:b/>
                <w:sz w:val="24"/>
                <w:szCs w:val="24"/>
              </w:rPr>
              <w:t>Quarter 3</w:t>
            </w:r>
          </w:p>
          <w:p w:rsidR="0024561C" w:rsidRPr="00A92FB3" w:rsidRDefault="0024561C" w:rsidP="00DE0A45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2FB3">
              <w:rPr>
                <w:rFonts w:ascii="Arial Narrow" w:hAnsi="Arial Narrow"/>
                <w:b/>
                <w:sz w:val="24"/>
                <w:szCs w:val="24"/>
              </w:rPr>
              <w:t>Jan 6 – Mar 17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561C" w:rsidRPr="00A92FB3" w:rsidRDefault="0024561C" w:rsidP="0024561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2FB3">
              <w:rPr>
                <w:rFonts w:ascii="Arial Narrow" w:hAnsi="Arial Narrow"/>
                <w:b/>
                <w:sz w:val="24"/>
                <w:szCs w:val="24"/>
              </w:rPr>
              <w:t>Major Concepts / Topics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4561C" w:rsidRPr="00A92FB3" w:rsidRDefault="0024561C" w:rsidP="0024561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2FB3">
              <w:rPr>
                <w:rFonts w:ascii="Arial Narrow" w:hAnsi="Arial Narrow"/>
                <w:b/>
                <w:sz w:val="24"/>
                <w:szCs w:val="24"/>
              </w:rPr>
              <w:t>Resources</w:t>
            </w:r>
          </w:p>
        </w:tc>
      </w:tr>
      <w:tr w:rsidR="0024561C" w:rsidRPr="00B3226D" w:rsidTr="005758F0">
        <w:trPr>
          <w:trHeight w:val="277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24561C" w:rsidRPr="00A92FB3" w:rsidRDefault="0024561C" w:rsidP="002456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8" w:space="0" w:color="auto"/>
              <w:bottom w:val="dotted" w:sz="4" w:space="0" w:color="auto"/>
            </w:tcBorders>
          </w:tcPr>
          <w:p w:rsidR="0024561C" w:rsidRPr="004068A6" w:rsidRDefault="005B7659" w:rsidP="0090160F">
            <w:pPr>
              <w:rPr>
                <w:rFonts w:ascii="Arial Narrow" w:hAnsi="Arial Narrow"/>
                <w:sz w:val="24"/>
                <w:szCs w:val="24"/>
              </w:rPr>
            </w:pPr>
            <w:r w:rsidRPr="004068A6">
              <w:rPr>
                <w:rFonts w:ascii="Arial Narrow" w:hAnsi="Arial Narrow"/>
                <w:sz w:val="24"/>
                <w:szCs w:val="24"/>
              </w:rPr>
              <w:t>Students will be able to:</w:t>
            </w:r>
          </w:p>
        </w:tc>
        <w:tc>
          <w:tcPr>
            <w:tcW w:w="459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:rsidR="0024561C" w:rsidRPr="00A92FB3" w:rsidRDefault="0024561C" w:rsidP="002456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561C" w:rsidRPr="00A003FF" w:rsidTr="00E266D3">
        <w:trPr>
          <w:trHeight w:val="485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24561C" w:rsidRPr="00A92FB3" w:rsidRDefault="0024561C" w:rsidP="002456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24561C" w:rsidRPr="004068A6" w:rsidRDefault="005404FA" w:rsidP="004068A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6E3928">
              <w:t>describe and narrate in the future</w:t>
            </w:r>
            <w:r>
              <w:t xml:space="preserve"> </w:t>
            </w:r>
            <w:r w:rsidRPr="006E3928">
              <w:t>and describe relationships be</w:t>
            </w:r>
            <w:r>
              <w:t>tween things, people and ideas in both the written and oral form, using the vocabulary and grammar structures presented in Lesson 6 in context.</w:t>
            </w:r>
          </w:p>
        </w:tc>
        <w:tc>
          <w:tcPr>
            <w:tcW w:w="4590" w:type="dxa"/>
            <w:tcBorders>
              <w:top w:val="nil"/>
              <w:bottom w:val="nil"/>
              <w:right w:val="single" w:sz="24" w:space="0" w:color="auto"/>
            </w:tcBorders>
          </w:tcPr>
          <w:p w:rsidR="0024561C" w:rsidRPr="00A003FF" w:rsidRDefault="005404FA" w:rsidP="005404FA">
            <w:pPr>
              <w:rPr>
                <w:b/>
                <w:lang w:val="es-ES"/>
              </w:rPr>
            </w:pPr>
            <w:r w:rsidRPr="00A003FF">
              <w:rPr>
                <w:b/>
                <w:lang w:val="es-ES"/>
              </w:rPr>
              <w:t>Lección 6 – La naturaleza</w:t>
            </w:r>
          </w:p>
          <w:p w:rsidR="005404FA" w:rsidRDefault="00F56017" w:rsidP="005404FA">
            <w:pPr>
              <w:rPr>
                <w:b/>
                <w:lang w:val="es-ES"/>
              </w:rPr>
            </w:pPr>
            <w:r w:rsidRPr="00F56017">
              <w:rPr>
                <w:b/>
                <w:lang w:val="es-ES"/>
              </w:rPr>
              <w:t>Lección 7 – La tecnología y la ciencia</w:t>
            </w:r>
          </w:p>
          <w:p w:rsidR="00F56017" w:rsidRPr="00F56017" w:rsidRDefault="00F56017" w:rsidP="005404FA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b/>
                <w:lang w:val="es-ES"/>
              </w:rPr>
              <w:t>Lección</w:t>
            </w:r>
            <w:r w:rsidRPr="004A12BD">
              <w:rPr>
                <w:b/>
                <w:lang w:val="es-ES"/>
              </w:rPr>
              <w:t xml:space="preserve"> 8 – La economía y el trabajo</w:t>
            </w:r>
          </w:p>
        </w:tc>
      </w:tr>
      <w:tr w:rsidR="0024561C" w:rsidRPr="004E3DE6" w:rsidTr="00B3226D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24561C" w:rsidRPr="00F56017" w:rsidRDefault="0024561C" w:rsidP="0024561C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24561C" w:rsidRPr="004E3DE6" w:rsidRDefault="004E3DE6" w:rsidP="004E3DE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5145EC">
              <w:t>describe past events and conditions, emphasize the size of objects and people and express affection or scorn</w:t>
            </w:r>
            <w:r>
              <w:t xml:space="preserve"> in both the written and oral form, using the vocabulary and grammar structures presented in Lesson 7 in context.</w:t>
            </w:r>
          </w:p>
        </w:tc>
        <w:tc>
          <w:tcPr>
            <w:tcW w:w="4590" w:type="dxa"/>
            <w:tcBorders>
              <w:top w:val="nil"/>
              <w:bottom w:val="nil"/>
              <w:right w:val="single" w:sz="24" w:space="0" w:color="auto"/>
            </w:tcBorders>
          </w:tcPr>
          <w:p w:rsidR="0024561C" w:rsidRPr="004E3DE6" w:rsidRDefault="0024561C" w:rsidP="002456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561C" w:rsidRPr="00A003FF" w:rsidTr="004068A6">
        <w:trPr>
          <w:trHeight w:val="647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24561C" w:rsidRPr="004E3DE6" w:rsidRDefault="0024561C" w:rsidP="002456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24561C" w:rsidRPr="004068A6" w:rsidRDefault="004E3DE6" w:rsidP="004068A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>
              <w:t xml:space="preserve">a) </w:t>
            </w:r>
            <w:r w:rsidRPr="005145EC">
              <w:t>express what they or others would do</w:t>
            </w:r>
            <w:r>
              <w:t>,</w:t>
            </w:r>
            <w:r w:rsidRPr="005145EC">
              <w:t xml:space="preserve"> (b) express will, emotion, doubt or denial in the past</w:t>
            </w:r>
            <w:r>
              <w:t>,</w:t>
            </w:r>
            <w:r w:rsidRPr="005145EC">
              <w:t xml:space="preserve"> (c) express uncertainty, indefiniteness, condition and intent in the past</w:t>
            </w:r>
            <w:r>
              <w:t>,</w:t>
            </w:r>
            <w:r w:rsidRPr="005145EC">
              <w:t xml:space="preserve"> and (d) discuss hypothetical situations and events t</w:t>
            </w:r>
            <w:r>
              <w:t>h</w:t>
            </w:r>
            <w:r w:rsidRPr="005145EC">
              <w:t>at depend</w:t>
            </w:r>
            <w:r>
              <w:t xml:space="preserve"> </w:t>
            </w:r>
            <w:r w:rsidRPr="005145EC">
              <w:t xml:space="preserve">on other </w:t>
            </w:r>
            <w:r>
              <w:t>events in both the written and oral form, using the vocabulary and grammar structures presented in Lesson 8 in context.</w:t>
            </w:r>
          </w:p>
        </w:tc>
        <w:tc>
          <w:tcPr>
            <w:tcW w:w="4590" w:type="dxa"/>
            <w:tcBorders>
              <w:top w:val="nil"/>
              <w:bottom w:val="nil"/>
              <w:right w:val="single" w:sz="24" w:space="0" w:color="auto"/>
            </w:tcBorders>
          </w:tcPr>
          <w:p w:rsidR="00BE6084" w:rsidRPr="004E3DE6" w:rsidRDefault="004E3DE6" w:rsidP="0024561C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881469">
              <w:rPr>
                <w:rFonts w:ascii="Arial Narrow" w:hAnsi="Arial Narrow" w:cstheme="minorHAnsi"/>
                <w:sz w:val="24"/>
                <w:szCs w:val="24"/>
                <w:lang w:val="es-ES"/>
              </w:rPr>
              <w:t>Vista Higher Learning</w:t>
            </w:r>
            <w:r w:rsidRPr="00881469">
              <w:rPr>
                <w:rFonts w:ascii="Arial Narrow" w:hAnsi="Arial Narrow" w:cstheme="minorHAnsi"/>
                <w:i/>
                <w:sz w:val="24"/>
                <w:szCs w:val="24"/>
                <w:lang w:val="es-ES"/>
              </w:rPr>
              <w:t xml:space="preserve"> Descubre 3– Lengua y cultura del mundo hispánico</w:t>
            </w:r>
          </w:p>
        </w:tc>
      </w:tr>
      <w:tr w:rsidR="0024561C" w:rsidRPr="00B3226D" w:rsidTr="004068A6">
        <w:trPr>
          <w:trHeight w:val="647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24561C" w:rsidRPr="004E3DE6" w:rsidRDefault="0024561C" w:rsidP="0024561C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24561C" w:rsidRPr="00A003FF" w:rsidRDefault="0024561C" w:rsidP="004E3DE6">
            <w:pPr>
              <w:pStyle w:val="ListParagraph"/>
              <w:ind w:left="765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  <w:tc>
          <w:tcPr>
            <w:tcW w:w="4590" w:type="dxa"/>
            <w:tcBorders>
              <w:top w:val="nil"/>
              <w:bottom w:val="nil"/>
              <w:right w:val="single" w:sz="24" w:space="0" w:color="auto"/>
            </w:tcBorders>
          </w:tcPr>
          <w:p w:rsidR="003130F9" w:rsidRDefault="003130F9" w:rsidP="003130F9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VHL Supersite:</w:t>
            </w:r>
          </w:p>
          <w:p w:rsidR="00E266D3" w:rsidRPr="00A92FB3" w:rsidRDefault="009628B3" w:rsidP="003130F9">
            <w:pPr>
              <w:rPr>
                <w:rFonts w:ascii="Arial Narrow" w:hAnsi="Arial Narrow"/>
                <w:sz w:val="24"/>
                <w:szCs w:val="24"/>
              </w:rPr>
            </w:pPr>
            <w:hyperlink r:id="rId10" w:history="1">
              <w:r w:rsidR="003130F9">
                <w:rPr>
                  <w:rStyle w:val="Hyperlink"/>
                  <w:sz w:val="24"/>
                  <w:szCs w:val="24"/>
                </w:rPr>
                <w:t>http://vhlcentral.com</w:t>
              </w:r>
            </w:hyperlink>
          </w:p>
        </w:tc>
      </w:tr>
      <w:tr w:rsidR="0024561C" w:rsidRPr="00B3226D" w:rsidTr="00501A93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24561C" w:rsidRPr="00A92FB3" w:rsidRDefault="0024561C" w:rsidP="002456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4068A6" w:rsidRPr="004068A6" w:rsidRDefault="004068A6" w:rsidP="005404FA">
            <w:pPr>
              <w:pStyle w:val="ListParagraph"/>
              <w:ind w:left="76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bottom w:val="nil"/>
              <w:right w:val="single" w:sz="24" w:space="0" w:color="auto"/>
            </w:tcBorders>
          </w:tcPr>
          <w:p w:rsidR="0024561C" w:rsidRPr="00A92FB3" w:rsidRDefault="0024561C" w:rsidP="002456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69D9" w:rsidRPr="00B3226D" w:rsidTr="00501A93">
        <w:trPr>
          <w:trHeight w:val="504"/>
        </w:trPr>
        <w:tc>
          <w:tcPr>
            <w:tcW w:w="1590" w:type="dxa"/>
            <w:tcBorders>
              <w:left w:val="single" w:sz="24" w:space="0" w:color="auto"/>
            </w:tcBorders>
          </w:tcPr>
          <w:p w:rsidR="009F69D9" w:rsidRPr="00A92FB3" w:rsidRDefault="009F69D9" w:rsidP="002456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F69D9" w:rsidRPr="00501A93" w:rsidRDefault="009F69D9" w:rsidP="005404FA">
            <w:pPr>
              <w:pStyle w:val="ListParagraph"/>
              <w:ind w:left="76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:rsidR="009F69D9" w:rsidRPr="00A92FB3" w:rsidRDefault="009F69D9" w:rsidP="002456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561C" w:rsidRPr="00B3226D" w:rsidTr="00501A93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4561C" w:rsidRPr="00A92FB3" w:rsidRDefault="0024561C" w:rsidP="00DE0A45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2FB3">
              <w:rPr>
                <w:rFonts w:ascii="Arial Narrow" w:hAnsi="Arial Narrow"/>
                <w:b/>
                <w:sz w:val="24"/>
                <w:szCs w:val="24"/>
              </w:rPr>
              <w:t>Quarter 4</w:t>
            </w:r>
          </w:p>
          <w:p w:rsidR="0024561C" w:rsidRPr="00A92FB3" w:rsidRDefault="0024561C" w:rsidP="00DE0A45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2FB3">
              <w:rPr>
                <w:rFonts w:ascii="Arial Narrow" w:hAnsi="Arial Narrow"/>
                <w:b/>
                <w:sz w:val="24"/>
                <w:szCs w:val="24"/>
              </w:rPr>
              <w:t>Mar 29 – May 26</w:t>
            </w:r>
          </w:p>
        </w:tc>
        <w:tc>
          <w:tcPr>
            <w:tcW w:w="8280" w:type="dxa"/>
            <w:tcBorders>
              <w:top w:val="single" w:sz="2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561C" w:rsidRPr="00A92FB3" w:rsidRDefault="0024561C" w:rsidP="0024561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2FB3">
              <w:rPr>
                <w:rFonts w:ascii="Arial Narrow" w:hAnsi="Arial Narrow"/>
                <w:b/>
                <w:sz w:val="24"/>
                <w:szCs w:val="24"/>
              </w:rPr>
              <w:t>Major Concepts / Topics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4561C" w:rsidRPr="00A92FB3" w:rsidRDefault="0024561C" w:rsidP="0024561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2FB3">
              <w:rPr>
                <w:rFonts w:ascii="Arial Narrow" w:hAnsi="Arial Narrow"/>
                <w:b/>
                <w:sz w:val="24"/>
                <w:szCs w:val="24"/>
              </w:rPr>
              <w:t xml:space="preserve"> Resources</w:t>
            </w:r>
          </w:p>
        </w:tc>
      </w:tr>
      <w:tr w:rsidR="0024561C" w:rsidRPr="00A003FF" w:rsidTr="00B3226D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24561C" w:rsidRPr="00A92FB3" w:rsidRDefault="0024561C" w:rsidP="002456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8" w:space="0" w:color="auto"/>
              <w:bottom w:val="dotted" w:sz="4" w:space="0" w:color="auto"/>
            </w:tcBorders>
          </w:tcPr>
          <w:p w:rsidR="00C71242" w:rsidRPr="00A848EA" w:rsidRDefault="00CE5F27" w:rsidP="0024561C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A848EA">
              <w:rPr>
                <w:rFonts w:ascii="Arial Narrow" w:hAnsi="Arial Narrow"/>
                <w:sz w:val="24"/>
                <w:szCs w:val="24"/>
                <w:u w:val="single"/>
              </w:rPr>
              <w:t>S</w:t>
            </w:r>
            <w:r w:rsidR="00DB419C" w:rsidRPr="00A848EA">
              <w:rPr>
                <w:rFonts w:ascii="Arial Narrow" w:hAnsi="Arial Narrow"/>
                <w:sz w:val="24"/>
                <w:szCs w:val="24"/>
                <w:u w:val="single"/>
              </w:rPr>
              <w:t>tudents will be able to:</w:t>
            </w:r>
          </w:p>
          <w:p w:rsidR="00A848EA" w:rsidRPr="00A848EA" w:rsidRDefault="00F56017" w:rsidP="00A848E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>
              <w:t>express will, emot</w:t>
            </w:r>
            <w:r w:rsidRPr="00A43ABD">
              <w:t xml:space="preserve">ion, doubt or denial in the past, (b) express uncertainty, indefiniteness, condition and intent in the past, (c) </w:t>
            </w:r>
            <w:r>
              <w:t>cre</w:t>
            </w:r>
            <w:r w:rsidRPr="00A43ABD">
              <w:t>ate longer, more informative sentences and (d) refe</w:t>
            </w:r>
            <w:r>
              <w:t>rence general ideas in both the written and oral form, using the vocabulary and grammar structures presented in Lesson 9 in context.</w:t>
            </w:r>
          </w:p>
        </w:tc>
        <w:tc>
          <w:tcPr>
            <w:tcW w:w="459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:rsidR="00DB419C" w:rsidRDefault="00F56017" w:rsidP="0024561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Lección</w:t>
            </w:r>
            <w:r w:rsidRPr="004A12BD">
              <w:rPr>
                <w:b/>
                <w:lang w:val="es-ES"/>
              </w:rPr>
              <w:t xml:space="preserve"> 9 – La cultura popular y los medios de comunicación</w:t>
            </w:r>
          </w:p>
          <w:p w:rsidR="00F56017" w:rsidRPr="00F56017" w:rsidRDefault="00F56017" w:rsidP="0024561C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b/>
                <w:lang w:val="es-ES"/>
              </w:rPr>
              <w:t>Lección</w:t>
            </w:r>
            <w:r w:rsidRPr="004A12BD">
              <w:rPr>
                <w:b/>
                <w:lang w:val="es-ES"/>
              </w:rPr>
              <w:t xml:space="preserve"> 10 – La literatura y el arte</w:t>
            </w:r>
          </w:p>
        </w:tc>
      </w:tr>
      <w:tr w:rsidR="0024561C" w:rsidRPr="00A003FF" w:rsidTr="00B3226D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24561C" w:rsidRPr="00F56017" w:rsidRDefault="0024561C" w:rsidP="0024561C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F56017" w:rsidRDefault="00F56017" w:rsidP="00881469">
            <w:pPr>
              <w:pStyle w:val="ListParagraph"/>
              <w:numPr>
                <w:ilvl w:val="0"/>
                <w:numId w:val="8"/>
              </w:numPr>
            </w:pPr>
            <w:r w:rsidRPr="00A43ABD">
              <w:t>say what will have happened, say what would have happened, make contrary</w:t>
            </w:r>
            <w:r>
              <w:t>-t</w:t>
            </w:r>
            <w:r w:rsidRPr="00A43ABD">
              <w:t xml:space="preserve">o-fact statements about the past </w:t>
            </w:r>
            <w:r>
              <w:t>in both the written and oral form, using the vocabulary and grammar structures presented in Lesson 10 in context.</w:t>
            </w:r>
          </w:p>
          <w:p w:rsidR="0024561C" w:rsidRPr="00F56017" w:rsidRDefault="0024561C" w:rsidP="004E3DE6">
            <w:pPr>
              <w:pStyle w:val="ListParagraph"/>
              <w:ind w:left="765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bottom w:val="nil"/>
              <w:right w:val="single" w:sz="24" w:space="0" w:color="auto"/>
            </w:tcBorders>
          </w:tcPr>
          <w:p w:rsidR="002F2332" w:rsidRPr="004E3DE6" w:rsidRDefault="004E3DE6" w:rsidP="007C085A">
            <w:pPr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881469">
              <w:rPr>
                <w:rFonts w:ascii="Arial Narrow" w:hAnsi="Arial Narrow" w:cstheme="minorHAnsi"/>
                <w:sz w:val="24"/>
                <w:szCs w:val="24"/>
                <w:lang w:val="es-ES"/>
              </w:rPr>
              <w:t>Vista Higher Learning</w:t>
            </w:r>
            <w:r w:rsidRPr="00881469">
              <w:rPr>
                <w:rFonts w:ascii="Arial Narrow" w:hAnsi="Arial Narrow" w:cstheme="minorHAnsi"/>
                <w:i/>
                <w:sz w:val="24"/>
                <w:szCs w:val="24"/>
                <w:lang w:val="es-ES"/>
              </w:rPr>
              <w:t xml:space="preserve"> Descubre 3– Lengua y cultura del mundo hispánico</w:t>
            </w:r>
          </w:p>
        </w:tc>
      </w:tr>
      <w:tr w:rsidR="0024561C" w:rsidRPr="004E3DE6" w:rsidTr="00B3226D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24561C" w:rsidRPr="004E3DE6" w:rsidRDefault="0024561C" w:rsidP="0024561C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24561C" w:rsidRPr="004E3DE6" w:rsidRDefault="0024561C" w:rsidP="00881469">
            <w:pPr>
              <w:pStyle w:val="ListParagraph"/>
              <w:ind w:left="765"/>
              <w:rPr>
                <w:rFonts w:ascii="Arial Narrow" w:hAnsi="Arial Narrow" w:cstheme="minorHAnsi"/>
                <w:sz w:val="24"/>
                <w:szCs w:val="24"/>
                <w:lang w:val="es-ES"/>
              </w:rPr>
            </w:pPr>
          </w:p>
        </w:tc>
        <w:tc>
          <w:tcPr>
            <w:tcW w:w="4590" w:type="dxa"/>
            <w:tcBorders>
              <w:top w:val="nil"/>
              <w:bottom w:val="nil"/>
              <w:right w:val="single" w:sz="24" w:space="0" w:color="auto"/>
            </w:tcBorders>
          </w:tcPr>
          <w:p w:rsidR="003130F9" w:rsidRDefault="003130F9" w:rsidP="003130F9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VHL Supersite:</w:t>
            </w:r>
          </w:p>
          <w:p w:rsidR="0024561C" w:rsidRPr="00A003FF" w:rsidRDefault="009628B3" w:rsidP="003130F9">
            <w:pPr>
              <w:rPr>
                <w:rFonts w:ascii="Arial Narrow" w:hAnsi="Arial Narrow"/>
                <w:sz w:val="24"/>
                <w:szCs w:val="24"/>
              </w:rPr>
            </w:pPr>
            <w:hyperlink r:id="rId11" w:history="1">
              <w:r w:rsidR="003130F9">
                <w:rPr>
                  <w:rStyle w:val="Hyperlink"/>
                  <w:sz w:val="24"/>
                  <w:szCs w:val="24"/>
                </w:rPr>
                <w:t>http://vhlcentral.com</w:t>
              </w:r>
            </w:hyperlink>
          </w:p>
        </w:tc>
      </w:tr>
      <w:tr w:rsidR="0024561C" w:rsidRPr="004E3DE6" w:rsidTr="00501A93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24561C" w:rsidRPr="00A003FF" w:rsidRDefault="0024561C" w:rsidP="002456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24561C" w:rsidRPr="00A003FF" w:rsidRDefault="0024561C" w:rsidP="00881469">
            <w:pPr>
              <w:pStyle w:val="ListParagraph"/>
              <w:ind w:left="765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bottom w:val="nil"/>
              <w:right w:val="single" w:sz="24" w:space="0" w:color="auto"/>
            </w:tcBorders>
          </w:tcPr>
          <w:p w:rsidR="0024561C" w:rsidRPr="00A003FF" w:rsidRDefault="0024561C" w:rsidP="00A848E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848EA" w:rsidRPr="004E3DE6" w:rsidTr="00F56017">
        <w:trPr>
          <w:trHeight w:val="60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A848EA" w:rsidRPr="00A003FF" w:rsidRDefault="00A848EA" w:rsidP="00A848E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dotted" w:sz="4" w:space="0" w:color="auto"/>
              <w:bottom w:val="single" w:sz="4" w:space="0" w:color="auto"/>
            </w:tcBorders>
          </w:tcPr>
          <w:p w:rsidR="00A848EA" w:rsidRPr="00A003FF" w:rsidRDefault="00A848EA" w:rsidP="00881469">
            <w:pPr>
              <w:pStyle w:val="ListParagraph"/>
              <w:ind w:left="76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:rsidR="00A848EA" w:rsidRPr="00A003FF" w:rsidRDefault="00A848EA" w:rsidP="00A848E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15820" w:rsidRPr="00A003FF" w:rsidRDefault="009628B3">
      <w:pPr>
        <w:rPr>
          <w:rFonts w:ascii="Cambria" w:hAnsi="Cambria"/>
        </w:rPr>
      </w:pPr>
    </w:p>
    <w:sectPr w:rsidR="00715820" w:rsidRPr="00A003FF" w:rsidSect="00F7520C">
      <w:headerReference w:type="default" r:id="rId12"/>
      <w:footerReference w:type="default" r:id="rId13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8B3" w:rsidRDefault="009628B3" w:rsidP="00075AB6">
      <w:pPr>
        <w:spacing w:after="0" w:line="240" w:lineRule="auto"/>
      </w:pPr>
      <w:r>
        <w:separator/>
      </w:r>
    </w:p>
  </w:endnote>
  <w:endnote w:type="continuationSeparator" w:id="0">
    <w:p w:rsidR="009628B3" w:rsidRDefault="009628B3" w:rsidP="000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24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A45" w:rsidRDefault="00DE0A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3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520C" w:rsidRDefault="00F75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8B3" w:rsidRDefault="009628B3" w:rsidP="00075AB6">
      <w:pPr>
        <w:spacing w:after="0" w:line="240" w:lineRule="auto"/>
      </w:pPr>
      <w:r>
        <w:separator/>
      </w:r>
    </w:p>
  </w:footnote>
  <w:footnote w:type="continuationSeparator" w:id="0">
    <w:p w:rsidR="009628B3" w:rsidRDefault="009628B3" w:rsidP="0007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AB6" w:rsidRPr="00B3226D" w:rsidRDefault="00404A7B">
    <w:pPr>
      <w:pStyle w:val="Header"/>
      <w:rPr>
        <w:rFonts w:ascii="Cambria" w:hAnsi="Cambria"/>
        <w:sz w:val="36"/>
        <w:szCs w:val="36"/>
      </w:rPr>
    </w:pPr>
    <w:r>
      <w:rPr>
        <w:rFonts w:ascii="Cambria" w:hAnsi="Cambria"/>
        <w:sz w:val="36"/>
        <w:szCs w:val="36"/>
      </w:rPr>
      <w:t>Spanish 3 - YAG</w:t>
    </w:r>
    <w:r w:rsidR="00075AB6" w:rsidRPr="00B3226D">
      <w:rPr>
        <w:rFonts w:ascii="Cambria" w:hAnsi="Cambria"/>
        <w:sz w:val="36"/>
        <w:szCs w:val="36"/>
      </w:rPr>
      <w:t xml:space="preserve"> </w:t>
    </w:r>
    <w:r w:rsidR="00E87408" w:rsidRPr="00B3226D">
      <w:rPr>
        <w:rFonts w:ascii="Cambria" w:hAnsi="Cambria"/>
        <w:sz w:val="36"/>
        <w:szCs w:val="36"/>
      </w:rPr>
      <w:tab/>
    </w:r>
    <w:r w:rsidR="00E87408" w:rsidRPr="00B3226D">
      <w:rPr>
        <w:rFonts w:ascii="Cambria" w:hAnsi="Cambria"/>
        <w:sz w:val="36"/>
        <w:szCs w:val="36"/>
      </w:rPr>
      <w:tab/>
    </w:r>
    <w:r w:rsidR="00E87408" w:rsidRPr="00B3226D">
      <w:rPr>
        <w:rFonts w:ascii="Cambria" w:hAnsi="Cambria"/>
        <w:sz w:val="36"/>
        <w:szCs w:val="36"/>
      </w:rPr>
      <w:tab/>
    </w:r>
    <w:r w:rsidR="00E87408" w:rsidRPr="00B3226D">
      <w:rPr>
        <w:rFonts w:ascii="Cambria" w:hAnsi="Cambria"/>
        <w:sz w:val="36"/>
        <w:szCs w:val="36"/>
      </w:rPr>
      <w:tab/>
    </w:r>
    <w:r w:rsidR="0003589A" w:rsidRPr="00B3226D">
      <w:rPr>
        <w:rFonts w:ascii="Cambria" w:hAnsi="Cambria"/>
        <w:sz w:val="36"/>
        <w:szCs w:val="36"/>
      </w:rPr>
      <w:t xml:space="preserve">  </w:t>
    </w:r>
    <w:r w:rsidR="00075AB6" w:rsidRPr="00B3226D">
      <w:rPr>
        <w:rFonts w:ascii="Cambria" w:hAnsi="Cambria"/>
        <w:sz w:val="36"/>
        <w:szCs w:val="36"/>
      </w:rPr>
      <w:t xml:space="preserve">2015 – 2016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1902"/>
    <w:multiLevelType w:val="hybridMultilevel"/>
    <w:tmpl w:val="399A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00A7"/>
    <w:multiLevelType w:val="hybridMultilevel"/>
    <w:tmpl w:val="D2E4003C"/>
    <w:lvl w:ilvl="0" w:tplc="118686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76A9"/>
    <w:multiLevelType w:val="multilevel"/>
    <w:tmpl w:val="79CE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C33BE"/>
    <w:multiLevelType w:val="hybridMultilevel"/>
    <w:tmpl w:val="D87EF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B9056A"/>
    <w:multiLevelType w:val="hybridMultilevel"/>
    <w:tmpl w:val="4722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F07E6"/>
    <w:multiLevelType w:val="hybridMultilevel"/>
    <w:tmpl w:val="E050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92382"/>
    <w:multiLevelType w:val="multilevel"/>
    <w:tmpl w:val="79CE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1A4D63"/>
    <w:multiLevelType w:val="hybridMultilevel"/>
    <w:tmpl w:val="4098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E0D86"/>
    <w:multiLevelType w:val="hybridMultilevel"/>
    <w:tmpl w:val="6882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F1184"/>
    <w:multiLevelType w:val="hybridMultilevel"/>
    <w:tmpl w:val="3DAA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E6631"/>
    <w:multiLevelType w:val="hybridMultilevel"/>
    <w:tmpl w:val="DB56F6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B6"/>
    <w:rsid w:val="00013F71"/>
    <w:rsid w:val="00014B53"/>
    <w:rsid w:val="0003589A"/>
    <w:rsid w:val="0006676D"/>
    <w:rsid w:val="00075AB6"/>
    <w:rsid w:val="00092983"/>
    <w:rsid w:val="000D029D"/>
    <w:rsid w:val="000D7724"/>
    <w:rsid w:val="000F0BCF"/>
    <w:rsid w:val="00120B63"/>
    <w:rsid w:val="00120D65"/>
    <w:rsid w:val="0012176D"/>
    <w:rsid w:val="00135FD4"/>
    <w:rsid w:val="001846C8"/>
    <w:rsid w:val="00196C29"/>
    <w:rsid w:val="001979BF"/>
    <w:rsid w:val="001C5214"/>
    <w:rsid w:val="001E0791"/>
    <w:rsid w:val="001F6E07"/>
    <w:rsid w:val="002078B9"/>
    <w:rsid w:val="00214C09"/>
    <w:rsid w:val="00217836"/>
    <w:rsid w:val="0024561C"/>
    <w:rsid w:val="002638D7"/>
    <w:rsid w:val="00271A35"/>
    <w:rsid w:val="002820B1"/>
    <w:rsid w:val="00295AB9"/>
    <w:rsid w:val="00296C69"/>
    <w:rsid w:val="002B2069"/>
    <w:rsid w:val="002C32AE"/>
    <w:rsid w:val="002D5233"/>
    <w:rsid w:val="002F2332"/>
    <w:rsid w:val="00300300"/>
    <w:rsid w:val="003130F9"/>
    <w:rsid w:val="0032144B"/>
    <w:rsid w:val="00321B26"/>
    <w:rsid w:val="003D373F"/>
    <w:rsid w:val="003D3DF6"/>
    <w:rsid w:val="00404A7B"/>
    <w:rsid w:val="004068A6"/>
    <w:rsid w:val="00435CB7"/>
    <w:rsid w:val="004562E1"/>
    <w:rsid w:val="004924C9"/>
    <w:rsid w:val="004D37D5"/>
    <w:rsid w:val="004E3DE6"/>
    <w:rsid w:val="004E6A04"/>
    <w:rsid w:val="00501A93"/>
    <w:rsid w:val="00537F46"/>
    <w:rsid w:val="005404FA"/>
    <w:rsid w:val="00546FD4"/>
    <w:rsid w:val="00552A5F"/>
    <w:rsid w:val="005543BF"/>
    <w:rsid w:val="00573D2C"/>
    <w:rsid w:val="00574954"/>
    <w:rsid w:val="005758F0"/>
    <w:rsid w:val="00591324"/>
    <w:rsid w:val="005B1899"/>
    <w:rsid w:val="005B7659"/>
    <w:rsid w:val="005E0441"/>
    <w:rsid w:val="005F0069"/>
    <w:rsid w:val="00646975"/>
    <w:rsid w:val="00650F58"/>
    <w:rsid w:val="006A38CA"/>
    <w:rsid w:val="006F1F88"/>
    <w:rsid w:val="00700926"/>
    <w:rsid w:val="00702AC7"/>
    <w:rsid w:val="00704449"/>
    <w:rsid w:val="0070472A"/>
    <w:rsid w:val="0077578E"/>
    <w:rsid w:val="007C085A"/>
    <w:rsid w:val="007D5AFB"/>
    <w:rsid w:val="007F2FDE"/>
    <w:rsid w:val="0083135F"/>
    <w:rsid w:val="008561F8"/>
    <w:rsid w:val="00881469"/>
    <w:rsid w:val="00886ECD"/>
    <w:rsid w:val="00900054"/>
    <w:rsid w:val="0090160F"/>
    <w:rsid w:val="00957506"/>
    <w:rsid w:val="009628B3"/>
    <w:rsid w:val="0098332F"/>
    <w:rsid w:val="009D5375"/>
    <w:rsid w:val="009F69D9"/>
    <w:rsid w:val="009F76FF"/>
    <w:rsid w:val="00A003FF"/>
    <w:rsid w:val="00A0067E"/>
    <w:rsid w:val="00A848EA"/>
    <w:rsid w:val="00A92FB3"/>
    <w:rsid w:val="00B224FE"/>
    <w:rsid w:val="00B22E7B"/>
    <w:rsid w:val="00B3226D"/>
    <w:rsid w:val="00B40341"/>
    <w:rsid w:val="00B52769"/>
    <w:rsid w:val="00BB0A52"/>
    <w:rsid w:val="00BB121C"/>
    <w:rsid w:val="00BE6084"/>
    <w:rsid w:val="00C01310"/>
    <w:rsid w:val="00C418EB"/>
    <w:rsid w:val="00C54906"/>
    <w:rsid w:val="00C71242"/>
    <w:rsid w:val="00CE5F27"/>
    <w:rsid w:val="00D060D6"/>
    <w:rsid w:val="00D527D0"/>
    <w:rsid w:val="00D701B9"/>
    <w:rsid w:val="00D74A64"/>
    <w:rsid w:val="00DB419C"/>
    <w:rsid w:val="00DE0A45"/>
    <w:rsid w:val="00E266D3"/>
    <w:rsid w:val="00E63A46"/>
    <w:rsid w:val="00E7033C"/>
    <w:rsid w:val="00E71833"/>
    <w:rsid w:val="00E87408"/>
    <w:rsid w:val="00EA0575"/>
    <w:rsid w:val="00F1338D"/>
    <w:rsid w:val="00F51949"/>
    <w:rsid w:val="00F56017"/>
    <w:rsid w:val="00F5798B"/>
    <w:rsid w:val="00F7520C"/>
    <w:rsid w:val="00F9457B"/>
    <w:rsid w:val="00FA269E"/>
    <w:rsid w:val="00FC4C51"/>
    <w:rsid w:val="00FD4EDA"/>
    <w:rsid w:val="00FD6800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A17F3-77AE-4F6D-BDA9-337DE830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B6"/>
  </w:style>
  <w:style w:type="paragraph" w:styleId="Footer">
    <w:name w:val="footer"/>
    <w:basedOn w:val="Normal"/>
    <w:link w:val="Foot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B6"/>
  </w:style>
  <w:style w:type="table" w:styleId="TableGrid">
    <w:name w:val="Table Grid"/>
    <w:basedOn w:val="TableNormal"/>
    <w:uiPriority w:val="39"/>
    <w:rsid w:val="0007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8EA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EA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133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hlcentra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hlcentra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hlcentr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hlcentra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6F526-0211-4A7D-9A63-10A60967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Wuellner</dc:creator>
  <cp:keywords/>
  <dc:description/>
  <cp:lastModifiedBy>Linda Gillespie</cp:lastModifiedBy>
  <cp:revision>4</cp:revision>
  <dcterms:created xsi:type="dcterms:W3CDTF">2015-06-12T12:54:00Z</dcterms:created>
  <dcterms:modified xsi:type="dcterms:W3CDTF">2015-06-12T13:39:00Z</dcterms:modified>
</cp:coreProperties>
</file>